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2B" w:rsidRPr="00DC6EF8" w:rsidRDefault="00A8612B" w:rsidP="00A8612B">
      <w:pPr>
        <w:pStyle w:val="Nagwek2"/>
        <w:spacing w:line="20" w:lineRule="atLeast"/>
        <w:jc w:val="center"/>
        <w:rPr>
          <w:rFonts w:ascii="Calibri" w:hAnsi="Calibri"/>
          <w:i/>
          <w:sz w:val="44"/>
          <w:szCs w:val="44"/>
        </w:rPr>
      </w:pPr>
      <w:bookmarkStart w:id="0" w:name="_GoBack"/>
      <w:bookmarkEnd w:id="0"/>
      <w:r w:rsidRPr="00DC6EF8">
        <w:rPr>
          <w:rFonts w:ascii="Calibri" w:hAnsi="Calibri"/>
          <w:i/>
          <w:sz w:val="44"/>
          <w:szCs w:val="44"/>
        </w:rPr>
        <w:t>Regulamin Rzecznika Praw Ucznia</w:t>
      </w:r>
    </w:p>
    <w:p w:rsidR="00A8612B" w:rsidRPr="00DC6EF8" w:rsidRDefault="00A8612B" w:rsidP="00A8612B">
      <w:pPr>
        <w:pStyle w:val="Nagwek2"/>
        <w:spacing w:line="20" w:lineRule="atLeast"/>
        <w:jc w:val="center"/>
        <w:rPr>
          <w:rFonts w:ascii="Calibri" w:hAnsi="Calibri"/>
          <w:i/>
          <w:sz w:val="44"/>
          <w:szCs w:val="44"/>
        </w:rPr>
      </w:pPr>
      <w:r w:rsidRPr="00DC6EF8">
        <w:rPr>
          <w:rFonts w:ascii="Calibri" w:hAnsi="Calibri"/>
          <w:i/>
          <w:sz w:val="44"/>
          <w:szCs w:val="44"/>
        </w:rPr>
        <w:t>Gimnazjum Publicznego nr 1</w:t>
      </w:r>
    </w:p>
    <w:p w:rsidR="00A8612B" w:rsidRPr="00DC6EF8" w:rsidRDefault="00A8612B" w:rsidP="00A8612B">
      <w:pPr>
        <w:pStyle w:val="Nagwek2"/>
        <w:spacing w:line="20" w:lineRule="atLeast"/>
        <w:jc w:val="center"/>
        <w:rPr>
          <w:rFonts w:ascii="Calibri" w:hAnsi="Calibri"/>
          <w:i/>
          <w:sz w:val="40"/>
          <w:szCs w:val="40"/>
        </w:rPr>
      </w:pPr>
      <w:r w:rsidRPr="00DC6EF8">
        <w:rPr>
          <w:rFonts w:ascii="Calibri" w:hAnsi="Calibri"/>
          <w:i/>
          <w:sz w:val="40"/>
          <w:szCs w:val="40"/>
        </w:rPr>
        <w:t>w Czechowicach-Dziedzicach</w:t>
      </w:r>
    </w:p>
    <w:p w:rsidR="00A8612B" w:rsidRPr="00DC6EF8" w:rsidRDefault="00A8612B" w:rsidP="00A8612B">
      <w:pPr>
        <w:pStyle w:val="Nagwek2"/>
        <w:spacing w:line="20" w:lineRule="atLeast"/>
        <w:rPr>
          <w:rFonts w:ascii="Calibri" w:hAnsi="Calibri"/>
          <w:i/>
          <w:sz w:val="28"/>
          <w:szCs w:val="28"/>
        </w:rPr>
      </w:pPr>
    </w:p>
    <w:p w:rsidR="00A8612B" w:rsidRPr="00DC6EF8" w:rsidRDefault="00A8612B" w:rsidP="00A8612B">
      <w:pPr>
        <w:pStyle w:val="Nagwek2"/>
        <w:spacing w:line="20" w:lineRule="atLeast"/>
        <w:rPr>
          <w:rFonts w:ascii="Calibri" w:hAnsi="Calibri"/>
          <w:i/>
          <w:sz w:val="28"/>
          <w:szCs w:val="28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color w:val="FF0000"/>
          <w:sz w:val="28"/>
          <w:szCs w:val="28"/>
        </w:rPr>
        <w:t>RZECZNIK PRAW UCZNIA</w:t>
      </w:r>
      <w:r w:rsidRPr="00A8612B">
        <w:rPr>
          <w:rFonts w:ascii="Calibri" w:hAnsi="Calibri"/>
          <w:i/>
          <w:sz w:val="24"/>
          <w:szCs w:val="24"/>
        </w:rPr>
        <w:t xml:space="preserve"> </w:t>
      </w:r>
      <w:r w:rsidRPr="00A8612B">
        <w:rPr>
          <w:rFonts w:ascii="Calibri" w:hAnsi="Calibri"/>
          <w:b w:val="0"/>
          <w:i/>
          <w:sz w:val="24"/>
          <w:szCs w:val="24"/>
        </w:rPr>
        <w:t>jest powołany do ochrony uczniów, ich wolności i praw zagwarantowanych w dokumentach prawnych wydanych przez Sejm oraz Ministerstwo Edukacji Narodowej.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8"/>
          <w:szCs w:val="28"/>
        </w:rPr>
      </w:pPr>
      <w:r w:rsidRPr="00A8612B">
        <w:rPr>
          <w:rFonts w:ascii="Calibri" w:hAnsi="Calibri"/>
          <w:i/>
          <w:sz w:val="28"/>
          <w:szCs w:val="28"/>
        </w:rPr>
        <w:t>I.  Zakres działalności Rzecznika Praw Ucznia: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1</w:t>
      </w:r>
      <w:r w:rsidRPr="00A8612B">
        <w:rPr>
          <w:rFonts w:ascii="Calibri" w:hAnsi="Calibri"/>
          <w:b w:val="0"/>
          <w:bCs/>
          <w:i/>
          <w:sz w:val="24"/>
          <w:szCs w:val="24"/>
        </w:rPr>
        <w:t>.Rzecznika Praw Ucznia powołuje Rada Młodzieżowa spośród kandydatów zgłoszonych przez przewodniczących klas, w tajnym głosowaniu zwykłą  większością głosów.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2</w:t>
      </w:r>
      <w:r w:rsidRPr="00A8612B">
        <w:rPr>
          <w:rFonts w:ascii="Calibri" w:hAnsi="Calibri"/>
          <w:b w:val="0"/>
          <w:bCs/>
          <w:i/>
          <w:sz w:val="24"/>
          <w:szCs w:val="24"/>
        </w:rPr>
        <w:t>.Rzecznik Praw Ucznia może być odwołany przez Radę Młodzieżową: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-</w:t>
      </w:r>
      <w:r w:rsidRPr="00A8612B">
        <w:rPr>
          <w:rFonts w:ascii="Calibri" w:hAnsi="Calibri"/>
          <w:b w:val="0"/>
          <w:bCs/>
          <w:i/>
          <w:sz w:val="24"/>
          <w:szCs w:val="24"/>
        </w:rPr>
        <w:t xml:space="preserve"> na wniosek Rady Młodzieżowej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-</w:t>
      </w:r>
      <w:r w:rsidRPr="00A8612B">
        <w:rPr>
          <w:rFonts w:ascii="Calibri" w:hAnsi="Calibri"/>
          <w:b w:val="0"/>
          <w:bCs/>
          <w:i/>
          <w:sz w:val="24"/>
          <w:szCs w:val="24"/>
        </w:rPr>
        <w:t xml:space="preserve"> na wniosek samego Rzecznika.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3</w:t>
      </w:r>
      <w:r w:rsidRPr="00A8612B">
        <w:rPr>
          <w:rFonts w:ascii="Calibri" w:hAnsi="Calibri"/>
          <w:b w:val="0"/>
          <w:bCs/>
          <w:i/>
          <w:sz w:val="24"/>
          <w:szCs w:val="24"/>
        </w:rPr>
        <w:t>.Kadencja Rzecznika Praw Ucznia trwa tak długo jak kadencja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 w:val="0"/>
          <w:bCs/>
          <w:i/>
          <w:sz w:val="24"/>
          <w:szCs w:val="24"/>
        </w:rPr>
        <w:t>Rady Młodzieżowej.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bCs/>
          <w:i/>
          <w:sz w:val="24"/>
          <w:szCs w:val="24"/>
        </w:rPr>
      </w:pPr>
      <w:r w:rsidRPr="00A8612B">
        <w:rPr>
          <w:rFonts w:ascii="Calibri" w:hAnsi="Calibri"/>
          <w:bCs/>
          <w:i/>
          <w:sz w:val="24"/>
          <w:szCs w:val="24"/>
        </w:rPr>
        <w:t>4</w:t>
      </w:r>
      <w:r w:rsidRPr="00A8612B">
        <w:rPr>
          <w:rFonts w:ascii="Calibri" w:hAnsi="Calibri"/>
          <w:b w:val="0"/>
          <w:bCs/>
          <w:i/>
          <w:sz w:val="24"/>
          <w:szCs w:val="24"/>
        </w:rPr>
        <w:t>.Rzecznik Praw Ucznia działa na podstawie Statutu Szkoły, Regulaminu Samorządu Uczniowskiego  i Konwencji Praw Dziecka. Jego główna rola polega na aktywnym ingerowaniu w życie szkoły wszędzie tam, gdzie naruszane są Prawa Ucznia i  inicjowaniu działań mających na celu ich ochronę.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b w:val="0"/>
          <w:i/>
          <w:sz w:val="24"/>
          <w:szCs w:val="24"/>
        </w:rPr>
        <w:t xml:space="preserve">  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Cs/>
          <w:i/>
          <w:sz w:val="28"/>
          <w:szCs w:val="28"/>
        </w:rPr>
      </w:pPr>
      <w:r w:rsidRPr="00A8612B">
        <w:rPr>
          <w:rFonts w:ascii="Calibri" w:hAnsi="Calibri"/>
          <w:bCs/>
          <w:i/>
          <w:sz w:val="28"/>
          <w:szCs w:val="28"/>
        </w:rPr>
        <w:t>II.  Podstawowe obowiązki Rzecznika Praw Ucznia: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color w:val="008000"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1</w:t>
      </w:r>
      <w:r w:rsidRPr="00A8612B">
        <w:rPr>
          <w:rFonts w:ascii="Calibri" w:hAnsi="Calibri"/>
          <w:b w:val="0"/>
          <w:i/>
          <w:sz w:val="24"/>
          <w:szCs w:val="24"/>
        </w:rPr>
        <w:t>.Dokonywanie analizy i oceny przestrzegania i poszanowania Praw Ucznia w szkole.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2</w:t>
      </w:r>
      <w:r w:rsidRPr="00A8612B">
        <w:rPr>
          <w:rFonts w:ascii="Calibri" w:hAnsi="Calibri"/>
          <w:b w:val="0"/>
          <w:i/>
          <w:sz w:val="24"/>
          <w:szCs w:val="24"/>
        </w:rPr>
        <w:t>.Rozpoznawanie potrzeb młodzieży w zakresie działalności samorządowej w szkole.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3</w:t>
      </w:r>
      <w:r w:rsidRPr="00A8612B">
        <w:rPr>
          <w:rFonts w:ascii="Calibri" w:hAnsi="Calibri"/>
          <w:b w:val="0"/>
          <w:i/>
          <w:sz w:val="24"/>
          <w:szCs w:val="24"/>
        </w:rPr>
        <w:t>.Organizowanie szkoleń i spotkań związanych z problematyką Praw Ucznia.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4</w:t>
      </w:r>
      <w:r w:rsidRPr="00A8612B">
        <w:rPr>
          <w:rFonts w:ascii="Calibri" w:hAnsi="Calibri"/>
          <w:b w:val="0"/>
          <w:i/>
          <w:sz w:val="24"/>
          <w:szCs w:val="24"/>
        </w:rPr>
        <w:t>.Współpraca z władzami samorządowymi, stowarzyszeniami,</w:t>
      </w:r>
      <w:r w:rsidRPr="00A8612B">
        <w:rPr>
          <w:rFonts w:ascii="Calibri" w:hAnsi="Calibri"/>
          <w:b w:val="0"/>
          <w:i/>
          <w:sz w:val="24"/>
          <w:szCs w:val="24"/>
          <w:u w:val="single"/>
        </w:rPr>
        <w:t xml:space="preserve"> </w:t>
      </w:r>
      <w:r w:rsidRPr="00A8612B">
        <w:rPr>
          <w:rFonts w:ascii="Calibri" w:hAnsi="Calibri"/>
          <w:b w:val="0"/>
          <w:i/>
          <w:sz w:val="24"/>
          <w:szCs w:val="24"/>
        </w:rPr>
        <w:t>organizacjami oraz instytucjami zajmującymi się działalnością na rzecz Praw Dziecka.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Cs/>
          <w:i/>
          <w:sz w:val="28"/>
          <w:szCs w:val="28"/>
        </w:rPr>
      </w:pPr>
      <w:r w:rsidRPr="00A8612B">
        <w:rPr>
          <w:rFonts w:ascii="Calibri" w:hAnsi="Calibri"/>
          <w:bCs/>
          <w:i/>
          <w:sz w:val="28"/>
          <w:szCs w:val="28"/>
        </w:rPr>
        <w:t xml:space="preserve">III.  Do obowiązków Rzecznika Praw Ucznia należy w 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Cs/>
          <w:i/>
          <w:sz w:val="28"/>
          <w:szCs w:val="28"/>
        </w:rPr>
      </w:pPr>
      <w:r w:rsidRPr="00A8612B">
        <w:rPr>
          <w:rFonts w:ascii="Calibri" w:hAnsi="Calibri"/>
          <w:bCs/>
          <w:i/>
          <w:sz w:val="28"/>
          <w:szCs w:val="28"/>
        </w:rPr>
        <w:t xml:space="preserve">       szczególności: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1</w:t>
      </w:r>
      <w:r w:rsidRPr="00A8612B">
        <w:rPr>
          <w:rFonts w:ascii="Calibri" w:hAnsi="Calibri"/>
          <w:b w:val="0"/>
          <w:i/>
          <w:sz w:val="24"/>
          <w:szCs w:val="24"/>
        </w:rPr>
        <w:t>.Znajomość Statutu Szkoły, regulaminu Samorządu Uczniowskiego oraz Konwencji Praw Dziecka.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2</w:t>
      </w:r>
      <w:r w:rsidRPr="00A8612B">
        <w:rPr>
          <w:rFonts w:ascii="Calibri" w:hAnsi="Calibri"/>
          <w:b w:val="0"/>
          <w:i/>
          <w:sz w:val="24"/>
          <w:szCs w:val="24"/>
        </w:rPr>
        <w:t>.Informowanie uczniów o przysługujących im prawach oraz sposobach  ich dochodzenia.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lastRenderedPageBreak/>
        <w:t>3</w:t>
      </w:r>
      <w:r w:rsidRPr="00A8612B">
        <w:rPr>
          <w:rFonts w:ascii="Calibri" w:hAnsi="Calibri"/>
          <w:b w:val="0"/>
          <w:i/>
          <w:sz w:val="24"/>
          <w:szCs w:val="24"/>
        </w:rPr>
        <w:t>.Interwencja w razie naruszania podstawowych Praw Ucznia.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4</w:t>
      </w:r>
      <w:r w:rsidRPr="00A8612B">
        <w:rPr>
          <w:rFonts w:ascii="Calibri" w:hAnsi="Calibri"/>
          <w:b w:val="0"/>
          <w:i/>
          <w:sz w:val="24"/>
          <w:szCs w:val="24"/>
        </w:rPr>
        <w:t xml:space="preserve">.Udzielenie pomocy zgodnie z ustalonym trybem postępowania. 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5.</w:t>
      </w:r>
      <w:r w:rsidRPr="00A8612B">
        <w:rPr>
          <w:rFonts w:ascii="Calibri" w:hAnsi="Calibri"/>
          <w:b w:val="0"/>
          <w:i/>
          <w:sz w:val="24"/>
          <w:szCs w:val="24"/>
        </w:rPr>
        <w:t>Kontrola realizacji i rozwiązywania spraw spornych.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Cs/>
          <w:i/>
          <w:sz w:val="28"/>
          <w:szCs w:val="28"/>
        </w:rPr>
      </w:pPr>
      <w:r w:rsidRPr="00A8612B">
        <w:rPr>
          <w:rFonts w:ascii="Calibri" w:hAnsi="Calibri"/>
          <w:bCs/>
          <w:i/>
          <w:sz w:val="28"/>
          <w:szCs w:val="28"/>
        </w:rPr>
        <w:t>IV.  Rzecznik Praw Ucznia ma prawo do: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b w:val="0"/>
          <w:i/>
          <w:sz w:val="24"/>
          <w:szCs w:val="24"/>
        </w:rPr>
        <w:t xml:space="preserve">     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1</w:t>
      </w:r>
      <w:r w:rsidRPr="00A8612B">
        <w:rPr>
          <w:rFonts w:ascii="Calibri" w:hAnsi="Calibri"/>
          <w:b w:val="0"/>
          <w:i/>
          <w:sz w:val="24"/>
          <w:szCs w:val="24"/>
        </w:rPr>
        <w:t>.Swobodnego działania w ramach obowiązujących regulaminów i trybu postępowania.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2</w:t>
      </w:r>
      <w:r w:rsidRPr="00A8612B">
        <w:rPr>
          <w:rFonts w:ascii="Calibri" w:hAnsi="Calibri"/>
          <w:b w:val="0"/>
          <w:i/>
          <w:sz w:val="24"/>
          <w:szCs w:val="24"/>
        </w:rPr>
        <w:t>.Zapoznania się z opinią stron konfliktu.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3.</w:t>
      </w:r>
      <w:r w:rsidRPr="00A8612B">
        <w:rPr>
          <w:rFonts w:ascii="Calibri" w:hAnsi="Calibri"/>
          <w:b w:val="0"/>
          <w:i/>
          <w:sz w:val="24"/>
          <w:szCs w:val="24"/>
        </w:rPr>
        <w:t>Odstąpienia od podjęcia interwencji.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4</w:t>
      </w:r>
      <w:r w:rsidRPr="00A8612B">
        <w:rPr>
          <w:rFonts w:ascii="Calibri" w:hAnsi="Calibri"/>
          <w:b w:val="0"/>
          <w:i/>
          <w:sz w:val="24"/>
          <w:szCs w:val="24"/>
        </w:rPr>
        <w:t>.Wnioskowania do organu uchwalającego Statut Szkoły  o wprowadzenie zmian zgodnych z Prawami Ucznia.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8"/>
          <w:szCs w:val="28"/>
        </w:rPr>
      </w:pPr>
      <w:r w:rsidRPr="00A8612B">
        <w:rPr>
          <w:rFonts w:ascii="Calibri" w:hAnsi="Calibri"/>
          <w:i/>
          <w:sz w:val="28"/>
          <w:szCs w:val="28"/>
        </w:rPr>
        <w:t>V.  Tryb postępowania w kwestiach spornych uczeń-uczeń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1</w:t>
      </w:r>
      <w:r w:rsidRPr="00A8612B">
        <w:rPr>
          <w:rFonts w:ascii="Calibri" w:hAnsi="Calibri"/>
          <w:b w:val="0"/>
          <w:i/>
          <w:sz w:val="24"/>
          <w:szCs w:val="24"/>
        </w:rPr>
        <w:t>.Zapoznanie się z opinią stron konfliktu.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2</w:t>
      </w:r>
      <w:r w:rsidRPr="00A8612B">
        <w:rPr>
          <w:rFonts w:ascii="Calibri" w:hAnsi="Calibri"/>
          <w:b w:val="0"/>
          <w:i/>
          <w:sz w:val="24"/>
          <w:szCs w:val="24"/>
        </w:rPr>
        <w:t>.Podjęcie mediacji ze stronami we współpracy z wychowawcą klasy.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3</w:t>
      </w:r>
      <w:r w:rsidRPr="00A8612B">
        <w:rPr>
          <w:rFonts w:ascii="Calibri" w:hAnsi="Calibri"/>
          <w:b w:val="0"/>
          <w:i/>
          <w:sz w:val="24"/>
          <w:szCs w:val="24"/>
        </w:rPr>
        <w:t>.W dalszym trybie postępowania – zasięgnięcie opinii Rady Pedagogicznej.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4</w:t>
      </w:r>
      <w:r w:rsidRPr="00A8612B">
        <w:rPr>
          <w:rFonts w:ascii="Calibri" w:hAnsi="Calibri"/>
          <w:b w:val="0"/>
          <w:i/>
          <w:sz w:val="24"/>
          <w:szCs w:val="24"/>
        </w:rPr>
        <w:t>.Ostateczną decyzję o sposobie rozwiązywania konfliktu podejmuje Rzecznik Praw Ucznia oraz Opiekun Rzecznika.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5</w:t>
      </w:r>
      <w:r w:rsidRPr="00A8612B">
        <w:rPr>
          <w:rFonts w:ascii="Calibri" w:hAnsi="Calibri"/>
          <w:b w:val="0"/>
          <w:i/>
          <w:sz w:val="24"/>
          <w:szCs w:val="24"/>
        </w:rPr>
        <w:t>.Rzecznik Praw Ucznia informuje każdorazowo zainteresowane strony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b w:val="0"/>
          <w:i/>
          <w:sz w:val="24"/>
          <w:szCs w:val="24"/>
        </w:rPr>
        <w:t xml:space="preserve"> o  podjętych przez siebie działaniach zmierzających do rozwiązania konfliktu.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Cs/>
          <w:i/>
          <w:sz w:val="28"/>
          <w:szCs w:val="28"/>
        </w:rPr>
      </w:pPr>
      <w:r w:rsidRPr="00A8612B">
        <w:rPr>
          <w:rFonts w:ascii="Calibri" w:hAnsi="Calibri"/>
          <w:bCs/>
          <w:i/>
          <w:sz w:val="28"/>
          <w:szCs w:val="28"/>
        </w:rPr>
        <w:t>VI.  Tryb postępowania w kwestiach spornych uczeń – nauczyciel: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b w:val="0"/>
          <w:i/>
          <w:sz w:val="24"/>
          <w:szCs w:val="24"/>
        </w:rPr>
        <w:t xml:space="preserve">          </w:t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  <w:r w:rsidRPr="00A8612B">
        <w:rPr>
          <w:rFonts w:ascii="Calibri" w:hAnsi="Calibri"/>
          <w:b w:val="0"/>
          <w:i/>
          <w:sz w:val="24"/>
          <w:szCs w:val="24"/>
        </w:rPr>
        <w:tab/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1</w:t>
      </w:r>
      <w:r w:rsidRPr="00A8612B">
        <w:rPr>
          <w:rFonts w:ascii="Calibri" w:hAnsi="Calibri"/>
          <w:b w:val="0"/>
          <w:i/>
          <w:sz w:val="24"/>
          <w:szCs w:val="24"/>
        </w:rPr>
        <w:t>.Zapoznanie się z opinią stron konfliktu.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2</w:t>
      </w:r>
      <w:r w:rsidRPr="00A8612B">
        <w:rPr>
          <w:rFonts w:ascii="Calibri" w:hAnsi="Calibri"/>
          <w:b w:val="0"/>
          <w:i/>
          <w:sz w:val="24"/>
          <w:szCs w:val="24"/>
        </w:rPr>
        <w:t>.Podjęcie mediacji ze stronami.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  <w:r w:rsidRPr="00A8612B">
        <w:rPr>
          <w:rFonts w:ascii="Calibri" w:hAnsi="Calibri"/>
          <w:i/>
          <w:sz w:val="24"/>
          <w:szCs w:val="24"/>
        </w:rPr>
        <w:t>3</w:t>
      </w:r>
      <w:r w:rsidRPr="00A8612B">
        <w:rPr>
          <w:rFonts w:ascii="Calibri" w:hAnsi="Calibri"/>
          <w:b w:val="0"/>
          <w:i/>
          <w:sz w:val="24"/>
          <w:szCs w:val="24"/>
        </w:rPr>
        <w:t>.Wystąpienie do Dyrektora Szkoły o podjęcie decyzji w sprawie, w przypadku nierozstrzygnięcia sporu.</w:t>
      </w:r>
    </w:p>
    <w:p w:rsidR="00A8612B" w:rsidRPr="00A8612B" w:rsidRDefault="00A8612B" w:rsidP="00A8612B">
      <w:pPr>
        <w:pStyle w:val="Nagwek2"/>
        <w:spacing w:line="20" w:lineRule="atLeast"/>
        <w:rPr>
          <w:rFonts w:ascii="Calibri" w:hAnsi="Calibri"/>
          <w:b w:val="0"/>
          <w:i/>
          <w:sz w:val="24"/>
          <w:szCs w:val="24"/>
        </w:rPr>
      </w:pPr>
    </w:p>
    <w:p w:rsidR="004C306B" w:rsidRDefault="004C306B" w:rsidP="00A8612B">
      <w:pPr>
        <w:spacing w:after="0" w:line="20" w:lineRule="atLeast"/>
        <w:rPr>
          <w:sz w:val="24"/>
          <w:szCs w:val="24"/>
        </w:rPr>
      </w:pPr>
    </w:p>
    <w:p w:rsidR="00021C25" w:rsidRDefault="00021C25" w:rsidP="00A8612B">
      <w:pPr>
        <w:spacing w:after="0" w:line="20" w:lineRule="atLeast"/>
        <w:rPr>
          <w:sz w:val="24"/>
          <w:szCs w:val="24"/>
        </w:rPr>
      </w:pPr>
    </w:p>
    <w:p w:rsidR="00021C25" w:rsidRDefault="00021C25" w:rsidP="00A8612B">
      <w:pPr>
        <w:spacing w:after="0" w:line="20" w:lineRule="atLeast"/>
        <w:rPr>
          <w:sz w:val="24"/>
          <w:szCs w:val="24"/>
        </w:rPr>
      </w:pPr>
    </w:p>
    <w:p w:rsidR="00021C25" w:rsidRDefault="00021C25" w:rsidP="00A8612B">
      <w:pPr>
        <w:spacing w:after="0" w:line="20" w:lineRule="atLeast"/>
        <w:rPr>
          <w:sz w:val="24"/>
          <w:szCs w:val="24"/>
        </w:rPr>
      </w:pPr>
    </w:p>
    <w:p w:rsidR="00021C25" w:rsidRDefault="00021C25" w:rsidP="00A8612B">
      <w:pPr>
        <w:spacing w:after="0" w:line="20" w:lineRule="atLeast"/>
        <w:rPr>
          <w:sz w:val="24"/>
          <w:szCs w:val="24"/>
        </w:rPr>
      </w:pPr>
    </w:p>
    <w:p w:rsidR="005B4612" w:rsidRPr="00021C25" w:rsidRDefault="005B4612" w:rsidP="00021C25">
      <w:pPr>
        <w:spacing w:after="0" w:line="20" w:lineRule="atLeast"/>
        <w:rPr>
          <w:sz w:val="28"/>
          <w:szCs w:val="28"/>
        </w:rPr>
      </w:pPr>
    </w:p>
    <w:sectPr w:rsidR="005B4612" w:rsidRPr="00021C25" w:rsidSect="004C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CE7"/>
    <w:multiLevelType w:val="hybridMultilevel"/>
    <w:tmpl w:val="9AD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2B"/>
    <w:rsid w:val="00021C25"/>
    <w:rsid w:val="00116A98"/>
    <w:rsid w:val="00216537"/>
    <w:rsid w:val="004C306B"/>
    <w:rsid w:val="005B4612"/>
    <w:rsid w:val="006C19C5"/>
    <w:rsid w:val="00726744"/>
    <w:rsid w:val="00A8612B"/>
    <w:rsid w:val="00B7729B"/>
    <w:rsid w:val="00B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CF14-C883-4155-91E1-3AC542B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6B"/>
  </w:style>
  <w:style w:type="paragraph" w:styleId="Nagwek2">
    <w:name w:val="heading 2"/>
    <w:basedOn w:val="Normalny"/>
    <w:next w:val="Normalny"/>
    <w:link w:val="Nagwek2Znak"/>
    <w:qFormat/>
    <w:rsid w:val="00A861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12B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2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Agata Szary</cp:lastModifiedBy>
  <cp:revision>2</cp:revision>
  <dcterms:created xsi:type="dcterms:W3CDTF">2015-12-15T21:21:00Z</dcterms:created>
  <dcterms:modified xsi:type="dcterms:W3CDTF">2015-12-15T21:21:00Z</dcterms:modified>
</cp:coreProperties>
</file>